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BC" w:rsidRPr="00FB38BC" w:rsidRDefault="00FB38BC" w:rsidP="00FB38BC">
      <w:pPr>
        <w:jc w:val="center"/>
        <w:rPr>
          <w:rFonts w:ascii="方正小标宋简体" w:eastAsia="方正小标宋简体" w:hAnsiTheme="minorEastAsia" w:hint="eastAsia"/>
          <w:sz w:val="32"/>
          <w:szCs w:val="32"/>
        </w:rPr>
      </w:pPr>
      <w:r w:rsidRPr="00FB38BC">
        <w:rPr>
          <w:rFonts w:ascii="方正小标宋简体" w:eastAsia="方正小标宋简体" w:hAnsiTheme="minorEastAsia" w:hint="eastAsia"/>
          <w:sz w:val="32"/>
          <w:szCs w:val="32"/>
        </w:rPr>
        <w:t>2018年度国家法治与法学理论研究项目课题指南目录</w:t>
      </w:r>
    </w:p>
    <w:p w:rsidR="00FB38BC" w:rsidRPr="00FB38BC" w:rsidRDefault="00FB38BC" w:rsidP="00FB38BC">
      <w:pPr>
        <w:ind w:firstLineChars="200" w:firstLine="560"/>
        <w:rPr>
          <w:rFonts w:ascii="黑体" w:eastAsia="黑体" w:hAnsi="黑体" w:hint="eastAsia"/>
          <w:sz w:val="28"/>
          <w:szCs w:val="28"/>
        </w:rPr>
      </w:pPr>
      <w:r w:rsidRPr="00FB38BC">
        <w:rPr>
          <w:rFonts w:ascii="黑体" w:eastAsia="黑体" w:hAnsi="黑体" w:hint="eastAsia"/>
          <w:sz w:val="28"/>
          <w:szCs w:val="28"/>
        </w:rPr>
        <w:t>一、 重点课题</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 习近平总书记关于全面推进依法治国的新理念新思想新战略研究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 新时代全面推进依法治国研究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 长江保护立法研究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 海南自由贸易试验区和中国特色自由贸易港建设法治保障和法律服务研究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 雄安新区建设法治保障和法律服务研究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 大数据与网络安全立法研究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7. 社会主义法治文化建设研究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8. 国家机构改革与国家机构组织法研究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9. 公共法律服务体系制度建设研究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10. 改善营商环境与完善商事法制研究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11. 企业海外投资风险防范法律对策研究</w:t>
      </w:r>
    </w:p>
    <w:p w:rsidR="00FB38BC" w:rsidRPr="00FB38BC" w:rsidRDefault="00FB38BC" w:rsidP="00FB38BC">
      <w:pPr>
        <w:ind w:firstLineChars="200" w:firstLine="560"/>
        <w:rPr>
          <w:rFonts w:ascii="黑体" w:eastAsia="黑体" w:hAnsi="黑体" w:hint="eastAsia"/>
          <w:sz w:val="28"/>
          <w:szCs w:val="28"/>
        </w:rPr>
      </w:pPr>
      <w:r w:rsidRPr="00FB38BC">
        <w:rPr>
          <w:rFonts w:ascii="黑体" w:eastAsia="黑体" w:hAnsi="黑体" w:hint="eastAsia"/>
          <w:sz w:val="28"/>
          <w:szCs w:val="28"/>
        </w:rPr>
        <w:t>一、 一般课题</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12. 法律统一资格考试命题制度比较研究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13. 法律职业伦理比较研究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14. 法治评估方法研究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15. 法治文化建设与去除宗教极端化思想研究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16. 人工智能的法律规制研究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17. 司法解释的规范化研究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18. 汉朝基层司法运作研究——基于新出土法律文献</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19. 中国古代法律解释研究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20. 中国古代监察制度流变研究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lastRenderedPageBreak/>
        <w:t>21. 地方立法备案审查机制研究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22. 国家的社会权利保障义务研究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23. 改革开放与宪法修改研究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24. 完善合宪性审查机制研究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25. 乡村振兴战略背景下民族地区乡村治理体制机制创新研究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26. 依法推进国家监察体制改革研究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27. 行政协议诉讼的法律适用研究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28. 戒毒人员权利保障制度研究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29. 事权与支出责任动态调整机制法治化研究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30. 信访法治化研究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31. 优化营商环境的行政监管制度改革研究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32. 行政确认无效研究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33. 征信制度的法律规制研究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34. 非刑罚性犯罪制裁研究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35. 极端主义的群体心理学研究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36. 监狱法修订研究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37. 侵犯公民个人信息罪的司法认定</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38. 数据权的刑法保护研究少年收容教养制度改革研究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39. 刑法中的“明知”及其司法认定</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40. 罪犯分类教育与评估研究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41. 商事仲裁的司法监督</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42. 家事审判情理法模式的现代建构</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43. 辩护律师全覆盖的难点与对策研究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44. 民商事纠纷网上审理标准规范体系研究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45. 人工智能时代在线公证研究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lastRenderedPageBreak/>
        <w:t>46. 统一司法鉴定标准化研究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47. 未成年服刑人员重返社会法律保障与机制建设研究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48. 刑事辩护职业伦理研究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49. 员额制背景下的法官胜任力模型构建</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50. 创业公司股权结构法律问题研究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51. 非典型担保法律问题研究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52. 民法典分则与农地用益物权体系构建</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53. 人工智能产品法律责任研究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54. 商业养老保险法律问题研究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55. 数据确权与交易法律问题研究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56. 中国当代民事习惯调查与司法裁判适用研究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57. 公司治理的改革与公司法的修改完善</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58. 《税收征收管理法》修改研究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59. 保险、银行业监管机构合并后监管功能整合研究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60. 政府与社会资本合作(PPP)纠纷解决机制研究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61. 互联网金融的法律规制研究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62. 数字货币的法律监管</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63. 互联网平台竞争的法律规制研究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64. 产业政策法治化司法保障研究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65. 中国破产法修订研究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66. 涉外法律服务平台机制研究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67. 朝鲜半岛和平机制构建的国际法问题研究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68. 构建人类命运共同体的国际法促进与保障研究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69. 国际投资仲裁案例的大数据分析</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lastRenderedPageBreak/>
        <w:t>70. 论海牙“判决项目”的最新发展——中国视角、立场 与方案</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71. 外国投资移民措施对我国反腐败追逃追赃的影响研究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72. 外逃人员缺席审判法律制度研究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73. 党政同责环保督察立法研究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74. 国家公园立法研究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75. 环境法典编纂研究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76. 人类遗传资源法律保障研究</w:t>
      </w:r>
    </w:p>
    <w:p w:rsidR="00FB38BC" w:rsidRPr="004E61BD" w:rsidRDefault="00FB38BC" w:rsidP="00FB38BC">
      <w:pPr>
        <w:ind w:firstLineChars="200" w:firstLine="560"/>
        <w:rPr>
          <w:rFonts w:asciiTheme="minorEastAsia" w:eastAsiaTheme="minorEastAsia" w:hAnsiTheme="minorEastAsia" w:hint="eastAsia"/>
          <w:sz w:val="28"/>
          <w:szCs w:val="28"/>
        </w:rPr>
      </w:pPr>
      <w:r w:rsidRPr="004E61BD">
        <w:rPr>
          <w:rFonts w:asciiTheme="minorEastAsia" w:eastAsiaTheme="minorEastAsia" w:hAnsiTheme="minorEastAsia" w:hint="eastAsia"/>
          <w:sz w:val="28"/>
          <w:szCs w:val="28"/>
        </w:rPr>
        <w:t>77. 排污许可制度立法研究</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BD9" w:rsidRDefault="00726BD9" w:rsidP="00FB38BC">
      <w:pPr>
        <w:spacing w:after="0"/>
      </w:pPr>
      <w:r>
        <w:separator/>
      </w:r>
    </w:p>
  </w:endnote>
  <w:endnote w:type="continuationSeparator" w:id="0">
    <w:p w:rsidR="00726BD9" w:rsidRDefault="00726BD9" w:rsidP="00FB38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BD9" w:rsidRDefault="00726BD9" w:rsidP="00FB38BC">
      <w:pPr>
        <w:spacing w:after="0"/>
      </w:pPr>
      <w:r>
        <w:separator/>
      </w:r>
    </w:p>
  </w:footnote>
  <w:footnote w:type="continuationSeparator" w:id="0">
    <w:p w:rsidR="00726BD9" w:rsidRDefault="00726BD9" w:rsidP="00FB38B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26BD9"/>
    <w:rsid w:val="008B7726"/>
    <w:rsid w:val="00D31D50"/>
    <w:rsid w:val="00F83A3D"/>
    <w:rsid w:val="00FB3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8B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B38BC"/>
    <w:rPr>
      <w:rFonts w:ascii="Tahoma" w:hAnsi="Tahoma"/>
      <w:sz w:val="18"/>
      <w:szCs w:val="18"/>
    </w:rPr>
  </w:style>
  <w:style w:type="paragraph" w:styleId="a4">
    <w:name w:val="footer"/>
    <w:basedOn w:val="a"/>
    <w:link w:val="Char0"/>
    <w:uiPriority w:val="99"/>
    <w:semiHidden/>
    <w:unhideWhenUsed/>
    <w:rsid w:val="00FB38BC"/>
    <w:pPr>
      <w:tabs>
        <w:tab w:val="center" w:pos="4153"/>
        <w:tab w:val="right" w:pos="8306"/>
      </w:tabs>
    </w:pPr>
    <w:rPr>
      <w:sz w:val="18"/>
      <w:szCs w:val="18"/>
    </w:rPr>
  </w:style>
  <w:style w:type="character" w:customStyle="1" w:styleId="Char0">
    <w:name w:val="页脚 Char"/>
    <w:basedOn w:val="a0"/>
    <w:link w:val="a4"/>
    <w:uiPriority w:val="99"/>
    <w:semiHidden/>
    <w:rsid w:val="00FB38B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2018-07-02T01:23:00Z</dcterms:modified>
</cp:coreProperties>
</file>